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Clinical Effectiveness</w:t>
      </w:r>
      <w:r w:rsidRPr="00154026">
        <w:rPr>
          <w:rFonts w:ascii="Arial" w:hAnsi="Arial"/>
          <w:b/>
          <w:noProof/>
          <w:color w:val="17365D" w:themeColor="text2" w:themeShade="BF"/>
          <w:sz w:val="28"/>
          <w:szCs w:val="28"/>
        </w:rPr>
        <w:t xml:space="preserve"> Leadership Training (CELT)</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12/5</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UAB School</w:t>
      </w:r>
      <w:r w:rsidRPr="00154026">
        <w:rPr>
          <w:rFonts w:ascii="Arial" w:hAnsi="Arial"/>
          <w:b/>
          <w:noProof/>
          <w:sz w:val="28"/>
          <w:szCs w:val="28"/>
        </w:rPr>
        <w:t xml:space="preserve"> of Medicine</w:t>
      </w:r>
      <w:r w:rsidRPr="00154026">
        <w:rPr>
          <w:rFonts w:ascii="Arial" w:hAnsi="Arial"/>
          <w:b/>
          <w:noProof/>
          <w:sz w:val="28"/>
          <w:szCs w:val="28"/>
        </w:rPr>
        <w:t xml:space="preserve"> </w:t>
      </w:r>
      <w:r w:rsidRPr="00154026">
        <w:rPr>
          <w:rFonts w:ascii="Arial" w:hAnsi="Arial"/>
          <w:b/>
          <w:noProof/>
          <w:sz w:val="28"/>
          <w:szCs w:val="28"/>
        </w:rPr>
        <w:t>AL</w:t>
      </w:r>
    </w:p>
    <w:p w:rsidR="00154026" w:rsidP="006A623D">
      <w:pPr>
        <w:spacing w:line="240" w:lineRule="auto"/>
        <w:rPr>
          <w:rFonts w:ascii="Arial" w:hAnsi="Arial"/>
          <w:sz w:val="24"/>
        </w:rPr>
      </w:pP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Explain</w:t>
      </w:r>
      <w:r w:rsidRPr="00154026">
        <w:rPr>
          <w:rFonts w:ascii="Arial" w:hAnsi="Arial" w:cs="Arial"/>
          <w:noProof/>
          <w:sz w:val="24"/>
          <w:szCs w:val="24"/>
        </w:rPr>
        <w:t xml:space="preserve"> the foundations of the Institute for Healthcare Improvement (IHI) Triple Aim Goals.</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2 Employ one new technique to access data to modify clinical practice.</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  &lt;p&gt;Cancellations received in writing &lt;strong&gt;no less than 20 days before the course&lt;/strong&gt; will be refunded, less a 20% administrative fee. No refunds will be made on cancellations received after that date. Please send cancellation requests to &lt;a href="mailto:cme@uab.edu"&gt;cme@uab.edu&lt;/a&gt;.&lt;br&gt;  &lt;br&gt;  UAB Interprofessional Healthcare Education Collaborative&amp;nbsp;reserves the right to cancel or postpone this program if necessary; in the event of cancellation, course fees will be fully refunded. We are not responsible for other costs incurred such as non-refundable airline tickets or hotel penalties.&lt;br&gt;  &lt;br&gt;  &lt;strong&gt;Accessibility Statement&lt;/strong&gt;&lt;br&gt;  &amp;nbsp;&lt;br&gt;  UAB Interprofessional Healthcare Education Collaborative&amp;nbsp;is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  &lt;br&gt;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1.00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