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6.0.0 -->
  <w:body>
    <w:p w:rsidR="00993B4D" w:rsidRPr="00154026" w:rsidP="006A623D">
      <w:pPr>
        <w:spacing w:line="240" w:lineRule="auto"/>
        <w:rPr>
          <w:rFonts w:ascii="Arial" w:hAnsi="Arial"/>
          <w:b/>
          <w:noProof/>
          <w:sz w:val="28"/>
          <w:szCs w:val="28"/>
        </w:rPr>
      </w:pPr>
      <w:r w:rsidRPr="00154026">
        <w:rPr>
          <w:rFonts w:ascii="Arial" w:hAnsi="Arial"/>
        </w:rPr>
        <w:br/>
      </w:r>
      <w:r w:rsidRPr="00154026" w:rsidR="007B0FAA">
        <w:rPr>
          <w:rFonts w:ascii="Arial" w:hAnsi="Arial"/>
          <w:b/>
          <w:color w:val="31849B" w:themeColor="accent5" w:themeShade="BF"/>
          <w:sz w:val="28"/>
          <w:szCs w:val="28"/>
        </w:rPr>
        <w:br/>
      </w:r>
      <w:r w:rsidRPr="00154026">
        <w:rPr>
          <w:rFonts w:ascii="Arial" w:hAnsi="Arial"/>
          <w:b/>
          <w:noProof/>
          <w:color w:val="17365D" w:themeColor="text2" w:themeShade="BF"/>
          <w:sz w:val="28"/>
          <w:szCs w:val="28"/>
        </w:rPr>
        <w:t>Clinical Effectiveness</w:t>
      </w:r>
      <w:r w:rsidRPr="00154026">
        <w:rPr>
          <w:rFonts w:ascii="Arial" w:hAnsi="Arial"/>
          <w:b/>
          <w:noProof/>
          <w:color w:val="17365D" w:themeColor="text2" w:themeShade="BF"/>
          <w:sz w:val="28"/>
          <w:szCs w:val="28"/>
        </w:rPr>
        <w:t xml:space="preserve"> Leadership Training (CELT) - CW</w:t>
      </w:r>
      <w:r w:rsidRPr="00154026">
        <w:rPr>
          <w:rFonts w:ascii="Arial" w:hAnsi="Arial"/>
          <w:b/>
          <w:noProof/>
          <w:color w:val="31849B" w:themeColor="accent5" w:themeShade="BF"/>
          <w:sz w:val="28"/>
          <w:szCs w:val="28"/>
        </w:rPr>
        <w:t xml:space="preserve"> | </w:t>
      </w:r>
      <w:r w:rsidRPr="00154026">
        <w:rPr>
          <w:rFonts w:ascii="Arial" w:hAnsi="Arial"/>
          <w:b/>
          <w:noProof/>
          <w:sz w:val="28"/>
          <w:szCs w:val="28"/>
        </w:rPr>
        <w:t>12/5</w:t>
      </w:r>
      <w:r w:rsidRPr="00154026">
        <w:rPr>
          <w:rFonts w:ascii="Arial" w:hAnsi="Arial"/>
          <w:b/>
          <w:noProof/>
          <w:sz w:val="28"/>
          <w:szCs w:val="28"/>
        </w:rPr>
        <w:t>/2025 7:00:00 AM</w:t>
      </w:r>
      <w:r w:rsidRPr="00154026">
        <w:rPr>
          <w:rFonts w:ascii="Arial" w:hAnsi="Arial"/>
          <w:b/>
          <w:noProof/>
          <w:sz w:val="28"/>
          <w:szCs w:val="28"/>
        </w:rPr>
        <w:t xml:space="preserve"> </w:t>
      </w:r>
      <w:r w:rsidRPr="00154026">
        <w:rPr>
          <w:rFonts w:ascii="Arial" w:hAnsi="Arial"/>
          <w:b/>
          <w:noProof/>
          <w:sz w:val="28"/>
          <w:szCs w:val="28"/>
        </w:rPr>
        <w:t xml:space="preserve"> </w:t>
      </w:r>
      <w:r w:rsidRPr="00154026">
        <w:rPr>
          <w:rFonts w:ascii="Arial" w:hAnsi="Arial"/>
          <w:b/>
          <w:noProof/>
          <w:sz w:val="28"/>
          <w:szCs w:val="28"/>
        </w:rPr>
        <w:t>AL</w:t>
      </w:r>
    </w:p>
    <w:p w:rsidR="00154026" w:rsidP="006A623D">
      <w:pPr>
        <w:spacing w:line="240" w:lineRule="auto"/>
        <w:rPr>
          <w:rFonts w:ascii="Arial" w:hAnsi="Arial"/>
          <w:sz w:val="24"/>
        </w:rPr>
      </w:pPr>
    </w:p>
    <w:p w:rsidR="00993B4D" w:rsidRPr="00154026" w:rsidP="006A623D">
      <w:pPr>
        <w:spacing w:line="240" w:lineRule="auto"/>
        <w:rPr>
          <w:rFonts w:ascii="Arial" w:hAnsi="Arial"/>
          <w:color w:val="000000" w:themeColor="text1"/>
          <w:sz w:val="24"/>
          <w:szCs w:val="24"/>
        </w:rPr>
      </w:pPr>
    </w:p>
    <w:p w:rsidR="00993B4D" w:rsidRPr="00154026" w:rsidP="006A623D">
      <w:pPr>
        <w:spacing w:line="240" w:lineRule="auto"/>
        <w:rPr>
          <w:rFonts w:ascii="Arial" w:hAnsi="Arial"/>
          <w:color w:val="000000" w:themeColor="text1"/>
          <w:sz w:val="24"/>
          <w:szCs w:val="24"/>
        </w:rPr>
      </w:pPr>
      <w:r w:rsidRPr="00154026">
        <w:rPr>
          <w:rFonts w:ascii="Arial" w:hAnsi="Arial" w:cs="Arial"/>
          <w:b/>
          <w:sz w:val="24"/>
          <w:szCs w:val="24"/>
        </w:rPr>
        <w:t>Program Goal:</w:t>
      </w:r>
      <w:r w:rsidRPr="00154026">
        <w:rPr>
          <w:rFonts w:ascii="Arial" w:hAnsi="Arial" w:cs="Arial"/>
          <w:sz w:val="24"/>
          <w:szCs w:val="24"/>
        </w:rPr>
        <w:t xml:space="preserve"> </w:t>
      </w:r>
      <w:r w:rsidRPr="00154026">
        <w:rPr>
          <w:rFonts w:ascii="Arial" w:hAnsi="Arial" w:cs="Arial"/>
          <w:noProof/>
          <w:sz w:val="24"/>
          <w:szCs w:val="24"/>
        </w:rPr>
        <w:t>1 Explain</w:t>
      </w:r>
      <w:r w:rsidRPr="00154026">
        <w:rPr>
          <w:rFonts w:ascii="Arial" w:hAnsi="Arial" w:cs="Arial"/>
          <w:noProof/>
          <w:sz w:val="24"/>
          <w:szCs w:val="24"/>
        </w:rPr>
        <w:t xml:space="preserve"> the foundations of the Institute for Healthcare Improvement (IHI) Triple Aim Goals. </w:t>
      </w:r>
    </w:p>
    <w:p w:rsidR="00993B4D" w:rsidRPr="00154026" w:rsidP="006A623D">
      <w:pPr>
        <w:spacing w:line="240" w:lineRule="auto"/>
        <w:rPr>
          <w:rFonts w:ascii="Arial" w:hAnsi="Arial"/>
          <w:color w:val="000000" w:themeColor="text1"/>
          <w:sz w:val="24"/>
          <w:szCs w:val="24"/>
        </w:rPr>
      </w:pPr>
      <w:r w:rsidRPr="00154026">
        <w:rPr>
          <w:rFonts w:ascii="Arial" w:hAnsi="Arial" w:cs="Arial"/>
          <w:noProof/>
          <w:sz w:val="24"/>
          <w:szCs w:val="24"/>
        </w:rPr>
        <w:t xml:space="preserve">2 Employ one new technique to access data to modify clinical practice. </w:t>
      </w:r>
    </w:p>
    <w:p w:rsidR="00993B4D" w:rsidRPr="00154026" w:rsidP="006A623D">
      <w:pPr>
        <w:spacing w:line="240" w:lineRule="auto"/>
        <w:rPr>
          <w:rFonts w:ascii="Arial" w:hAnsi="Arial" w:cs="Arial"/>
          <w:noProof/>
          <w:sz w:val="24"/>
          <w:szCs w:val="24"/>
        </w:rPr>
      </w:pPr>
      <w:r w:rsidRPr="00154026">
        <w:rPr>
          <w:rFonts w:ascii="Arial" w:hAnsi="Arial" w:cs="Arial"/>
          <w:b/>
          <w:sz w:val="24"/>
          <w:szCs w:val="24"/>
        </w:rPr>
        <w:t>Target Audience:</w:t>
      </w:r>
      <w:r w:rsidRPr="00154026">
        <w:rPr>
          <w:rFonts w:ascii="Arial" w:hAnsi="Arial" w:cs="Arial"/>
          <w:sz w:val="24"/>
          <w:szCs w:val="24"/>
        </w:rPr>
        <w:t xml:space="preserve"> </w:t>
      </w:r>
    </w:p>
    <w:p w:rsidR="009A3B3F" w:rsidRPr="00154026" w:rsidP="006A623D">
      <w:pPr>
        <w:spacing w:line="240" w:lineRule="auto"/>
        <w:rPr>
          <w:rFonts w:ascii="Arial" w:hAnsi="Arial" w:cs="Arial"/>
          <w:noProof/>
          <w:sz w:val="24"/>
          <w:szCs w:val="24"/>
        </w:rPr>
      </w:pPr>
      <w:r w:rsidRPr="00154026">
        <w:rPr>
          <w:rFonts w:ascii="Arial" w:hAnsi="Arial" w:cs="Arial"/>
          <w:b/>
          <w:sz w:val="24"/>
          <w:szCs w:val="24"/>
        </w:rPr>
        <w:t>Faculty:</w:t>
      </w:r>
      <w:r w:rsidRPr="00154026">
        <w:rPr>
          <w:rFonts w:ascii="Arial" w:hAnsi="Arial" w:cs="Arial"/>
          <w:sz w:val="24"/>
          <w:szCs w:val="24"/>
        </w:rPr>
        <w:t xml:space="preserve"> </w:t>
      </w:r>
    </w:p>
    <w:p w:rsidR="009A3B3F" w:rsidRPr="00154026" w:rsidP="006A623D">
      <w:pPr>
        <w:spacing w:line="240" w:lineRule="auto"/>
        <w:rPr>
          <w:rFonts w:ascii="Arial" w:hAnsi="Arial" w:cs="Arial"/>
          <w:sz w:val="24"/>
          <w:szCs w:val="24"/>
        </w:rPr>
      </w:pPr>
      <w:r w:rsidRPr="00154026">
        <w:rPr>
          <w:rFonts w:ascii="Arial" w:hAnsi="Arial" w:cs="Arial"/>
          <w:b/>
          <w:sz w:val="24"/>
          <w:szCs w:val="24"/>
        </w:rPr>
        <w:t>Misc:</w:t>
      </w:r>
      <w:r w:rsidRPr="00154026">
        <w:rPr>
          <w:rFonts w:ascii="Arial" w:hAnsi="Arial" w:cs="Arial"/>
          <w:sz w:val="24"/>
          <w:szCs w:val="24"/>
        </w:rPr>
        <w:t xml:space="preserve"> </w:t>
      </w:r>
      <w:r w:rsidRPr="00154026">
        <w:rPr>
          <w:rFonts w:ascii="Arial" w:hAnsi="Arial" w:cs="Arial"/>
          <w:noProof/>
          <w:sz w:val="24"/>
          <w:szCs w:val="24"/>
        </w:rPr>
        <w:t>&lt;p&gt;</w:t>
      </w:r>
      <w:r w:rsidRPr="00154026">
        <w:rPr>
          <w:rFonts w:ascii="Arial" w:hAnsi="Arial" w:cs="Arial"/>
          <w:noProof/>
          <w:sz w:val="24"/>
          <w:szCs w:val="24"/>
        </w:rPr>
        <w:t>&lt;strong&gt;&lt;span style="color: #8c1515;"&gt;Cancellation Policy&lt;/span&gt;&lt;/strong&gt;&lt;/p&gt;  &lt;p&gt;Cancellations received in writing &lt;strong&gt;no less than 20 days before the course&lt;/strong&gt; will be refunded, less a 20% administrative fee. No refunds will be made on cancellations received after that date. Please send cancellation requests to &lt;a href="mailto:cme@uab.edu"&gt;cme@uab.edu&lt;/a&gt;.&lt;br&gt;  &lt;br&gt;  UAB Interprofessional Healthcare Education Collaborative&amp;nbsp;reserves the right to cancel or postpone this program if necessary; in the event of cancellation, course fees will be fully refunded. We are not responsible for other costs incurred such as non-refundable airline tickets or hotel penalties.&lt;br&gt;  &lt;br&gt;  &lt;strong&gt;Accessibility Statement&lt;/strong&gt;&lt;br&gt;  &amp;nbsp;&lt;br&gt;  UAB Interprofessional Healthcare Education Collaborative&amp;nbsp;is committed to ensuring that its programs, services, goods and facilities are accessible to individuals with disabilities as specified under Section 504 of the Rehabilitation Act of 1973 and the Americans with Disabilities Amendments Act of 2008.&amp;nbsp; If you have needs that require special accommodations, including dietary concerns, please contact the CME Conference Coordinator.&lt;/p&gt;  &lt;br&gt;</w:t>
      </w:r>
    </w:p>
    <w:p w:rsidR="00CC477A" w:rsidRPr="00154026" w:rsidP="00CC477A">
      <w:pPr>
        <w:spacing w:line="240" w:lineRule="auto"/>
        <w:rPr>
          <w:rFonts w:ascii="Arial" w:hAnsi="Arial" w:cs="Arial"/>
          <w:sz w:val="24"/>
          <w:szCs w:val="20"/>
        </w:rPr>
      </w:pPr>
      <w:r w:rsidRPr="00154026">
        <w:rPr>
          <w:rFonts w:ascii="Arial" w:hAnsi="Arial" w:cs="Arial"/>
          <w:sz w:val="24"/>
          <w:szCs w:val="20"/>
        </w:rPr>
        <w:t>The</w:t>
      </w:r>
      <w:r w:rsidRPr="00154026">
        <w:rPr>
          <w:rFonts w:ascii="Arial" w:hAnsi="Arial" w:cs="Arial"/>
          <w:sz w:val="24"/>
          <w:szCs w:val="20"/>
        </w:rPr>
        <w:t xml:space="preserve"> </w:t>
      </w:r>
      <w:r w:rsidRPr="00154026">
        <w:rPr>
          <w:rFonts w:ascii="Arial" w:hAnsi="Arial" w:cs="Arial"/>
          <w:sz w:val="24"/>
          <w:szCs w:val="20"/>
        </w:rPr>
        <w:t>School of Medicine is accredited by the Accreditation Council for Continuing Medical Education (ACCME) to provide continuing medical education for physicians</w:t>
      </w:r>
      <w:r w:rsidRPr="00154026">
        <w:rPr>
          <w:rFonts w:ascii="Arial" w:hAnsi="Arial" w:cs="Arial"/>
          <w:sz w:val="24"/>
          <w:szCs w:val="20"/>
        </w:rPr>
        <w:t>.</w:t>
      </w:r>
    </w:p>
    <w:p w:rsidR="00993B4D" w:rsidRPr="00154026" w:rsidP="003B6C7B">
      <w:pPr>
        <w:spacing w:line="240" w:lineRule="auto"/>
        <w:rPr>
          <w:rFonts w:ascii="Arial" w:hAnsi="Arial" w:cs="Arial"/>
          <w:sz w:val="24"/>
          <w:szCs w:val="20"/>
        </w:rPr>
      </w:pPr>
      <w:r w:rsidRPr="00154026">
        <w:rPr>
          <w:rFonts w:ascii="Arial" w:hAnsi="Arial" w:cs="Arial"/>
          <w:sz w:val="24"/>
          <w:szCs w:val="20"/>
        </w:rPr>
        <w:t>The</w:t>
      </w:r>
      <w:r w:rsidRPr="00154026" w:rsidR="00CC477A">
        <w:rPr>
          <w:rFonts w:ascii="Arial" w:hAnsi="Arial" w:cs="Arial"/>
          <w:sz w:val="24"/>
          <w:szCs w:val="20"/>
        </w:rPr>
        <w:t xml:space="preserve"> School of Medicine </w:t>
      </w:r>
      <w:r w:rsidRPr="00154026">
        <w:rPr>
          <w:rFonts w:ascii="Arial" w:hAnsi="Arial" w:cs="Arial"/>
          <w:sz w:val="24"/>
          <w:szCs w:val="20"/>
        </w:rPr>
        <w:t xml:space="preserve">designates this educational activity for a maximum of </w:t>
      </w:r>
      <w:r w:rsidRPr="00154026">
        <w:rPr>
          <w:rFonts w:ascii="Arial" w:hAnsi="Arial" w:cs="Arial"/>
          <w:noProof/>
          <w:sz w:val="24"/>
        </w:rPr>
        <w:t>2.00</w:t>
      </w:r>
      <w:r w:rsidRPr="00154026">
        <w:rPr>
          <w:rFonts w:ascii="Arial" w:hAnsi="Arial" w:cs="Arial"/>
          <w:sz w:val="24"/>
        </w:rPr>
        <w:t xml:space="preserve"> </w:t>
      </w:r>
      <w:r w:rsidRPr="00154026">
        <w:rPr>
          <w:rFonts w:ascii="Arial" w:hAnsi="Arial" w:cs="Arial"/>
          <w:sz w:val="24"/>
          <w:szCs w:val="20"/>
        </w:rPr>
        <w:t>AMA PRA Category 1 Credit. Physicians should only claim credit commensurate with the extent of their participation in the activity.</w:t>
      </w:r>
    </w:p>
    <w:p w:rsidR="00993B4D" w:rsidRPr="00154026" w:rsidP="006A623D">
      <w:pPr>
        <w:spacing w:line="240" w:lineRule="auto"/>
        <w:rPr>
          <w:rFonts w:ascii="Arial" w:hAnsi="Arial"/>
          <w:color w:val="000000" w:themeColor="text1"/>
          <w:sz w:val="24"/>
          <w:szCs w:val="24"/>
        </w:rPr>
      </w:pPr>
      <w:r w:rsidRPr="00154026">
        <w:rPr>
          <w:rFonts w:ascii="Arial" w:hAnsi="Arial" w:cs="Arial"/>
          <w:sz w:val="24"/>
          <w:szCs w:val="24"/>
        </w:rPr>
        <w:t>If you have</w:t>
      </w:r>
      <w:r w:rsidRPr="00154026">
        <w:rPr>
          <w:rFonts w:ascii="Arial" w:hAnsi="Arial" w:cs="Arial"/>
          <w:sz w:val="24"/>
          <w:szCs w:val="24"/>
        </w:rPr>
        <w:t xml:space="preserve"> questions, </w:t>
      </w:r>
      <w:r w:rsidRPr="00154026">
        <w:rPr>
          <w:rFonts w:ascii="Arial" w:hAnsi="Arial" w:cs="Arial"/>
          <w:sz w:val="24"/>
          <w:szCs w:val="24"/>
        </w:rPr>
        <w:t xml:space="preserve">please </w:t>
      </w:r>
      <w:r w:rsidRPr="00154026">
        <w:rPr>
          <w:rFonts w:ascii="Arial" w:hAnsi="Arial" w:cs="Arial"/>
          <w:sz w:val="24"/>
          <w:szCs w:val="24"/>
        </w:rPr>
        <w:t xml:space="preserve">email </w:t>
      </w:r>
    </w:p>
    <w:sectPr w:rsidSect="00993B4D">
      <w:pgSz w:w="15840" w:h="12240" w:orient="landscape"/>
      <w:pgMar w:top="1008" w:right="1080" w:bottom="108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503020203020204"/>
    <w:charset w:val="00"/>
    <w:family w:val="auto"/>
    <w:pitch w:val="variable"/>
    <w:sig w:usb0="E1000AEF" w:usb1="5000A1FF" w:usb2="00000000" w:usb3="00000000" w:csb0="000001BF" w:csb1="00000000"/>
  </w:font>
  <w:font w:name="Arial">
    <w:panose1 w:val="020B0604020202020204"/>
    <w:charset w:val="59"/>
    <w:family w:val="auto"/>
    <w:pitch w:val="variable"/>
    <w:sig w:usb0="00000201" w:usb1="00000000" w:usb2="00000000" w:usb3="00000000" w:csb0="00000004"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useFELayout/>
  </w:compat>
  <m:mathPr>
    <m:mathFont m:val="@ＭＳ ゴシック"/>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993B4D"/>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155</Words>
  <Characters>888</Characters>
  <Application>Microsoft Office Word</Application>
  <DocSecurity>0</DocSecurity>
  <Lines>7</Lines>
  <Paragraphs>1</Paragraphs>
  <ScaleCrop>false</ScaleCrop>
  <Company>A</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Paul Carpenter</cp:lastModifiedBy>
  <cp:revision>9</cp:revision>
  <dcterms:created xsi:type="dcterms:W3CDTF">2016-02-10T14:54:00Z</dcterms:created>
  <dcterms:modified xsi:type="dcterms:W3CDTF">2017-05-23T15:26:00Z</dcterms:modified>
</cp:coreProperties>
</file>